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38BE" w:rsidRPr="00DC544F" w:rsidTr="005A5BB7">
        <w:tc>
          <w:tcPr>
            <w:tcW w:w="3261" w:type="dxa"/>
            <w:shd w:val="clear" w:color="auto" w:fill="E7E6E6"/>
          </w:tcPr>
          <w:p w:rsidR="0075328A" w:rsidRPr="00DC544F" w:rsidRDefault="009B60C5" w:rsidP="0075328A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C544F" w:rsidRDefault="00903D3F" w:rsidP="00230905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Основы нейминга</w:t>
            </w:r>
          </w:p>
        </w:tc>
      </w:tr>
      <w:tr w:rsidR="001738BE" w:rsidRPr="00DC544F" w:rsidTr="005A5BB7">
        <w:tc>
          <w:tcPr>
            <w:tcW w:w="3261" w:type="dxa"/>
            <w:shd w:val="clear" w:color="auto" w:fill="E7E6E6"/>
          </w:tcPr>
          <w:p w:rsidR="00A30025" w:rsidRPr="00DC544F" w:rsidRDefault="00A30025" w:rsidP="009B60C5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C544F" w:rsidRDefault="00A05DC9" w:rsidP="00A30025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43</w:t>
            </w:r>
            <w:r w:rsidR="00A30025" w:rsidRPr="00DC544F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DC544F" w:rsidRDefault="00A05DC9" w:rsidP="00230905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Сервис</w:t>
            </w:r>
          </w:p>
        </w:tc>
      </w:tr>
      <w:tr w:rsidR="001738BE" w:rsidRPr="00DC544F" w:rsidTr="005A5BB7">
        <w:tc>
          <w:tcPr>
            <w:tcW w:w="3261" w:type="dxa"/>
            <w:shd w:val="clear" w:color="auto" w:fill="E7E6E6"/>
          </w:tcPr>
          <w:p w:rsidR="009B60C5" w:rsidRPr="00DC544F" w:rsidRDefault="009B60C5" w:rsidP="009B60C5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C544F" w:rsidRDefault="001738BE" w:rsidP="00A05DC9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Ивент-сервис</w:t>
            </w:r>
          </w:p>
        </w:tc>
      </w:tr>
      <w:tr w:rsidR="001738BE" w:rsidRPr="00DC544F" w:rsidTr="005A5BB7">
        <w:tc>
          <w:tcPr>
            <w:tcW w:w="3261" w:type="dxa"/>
            <w:shd w:val="clear" w:color="auto" w:fill="E7E6E6"/>
          </w:tcPr>
          <w:p w:rsidR="00230905" w:rsidRPr="00DC544F" w:rsidRDefault="00230905" w:rsidP="009B60C5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C544F" w:rsidRDefault="00A05DC9" w:rsidP="009B60C5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4</w:t>
            </w:r>
            <w:r w:rsidR="00230905" w:rsidRPr="00DC544F">
              <w:rPr>
                <w:sz w:val="24"/>
                <w:szCs w:val="24"/>
              </w:rPr>
              <w:t xml:space="preserve"> з.е.</w:t>
            </w:r>
          </w:p>
        </w:tc>
      </w:tr>
      <w:tr w:rsidR="001738BE" w:rsidRPr="00DC544F" w:rsidTr="005A5BB7">
        <w:tc>
          <w:tcPr>
            <w:tcW w:w="3261" w:type="dxa"/>
            <w:shd w:val="clear" w:color="auto" w:fill="E7E6E6"/>
          </w:tcPr>
          <w:p w:rsidR="009B60C5" w:rsidRPr="00DC544F" w:rsidRDefault="009B60C5" w:rsidP="009B60C5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C544F" w:rsidRDefault="00903D3F" w:rsidP="009B60C5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Зачет с оценкой</w:t>
            </w:r>
          </w:p>
        </w:tc>
      </w:tr>
      <w:tr w:rsidR="001738BE" w:rsidRPr="00DC544F" w:rsidTr="005A5BB7">
        <w:tc>
          <w:tcPr>
            <w:tcW w:w="3261" w:type="dxa"/>
            <w:shd w:val="clear" w:color="auto" w:fill="E7E6E6"/>
          </w:tcPr>
          <w:p w:rsidR="00CB2C49" w:rsidRPr="00DC544F" w:rsidRDefault="00CB2C49" w:rsidP="00CB2C49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C544F" w:rsidRDefault="00DC544F" w:rsidP="00A05DC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A05DC9" w:rsidRPr="00DC544F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1738BE" w:rsidRPr="00DC544F" w:rsidTr="005A5BB7">
        <w:tc>
          <w:tcPr>
            <w:tcW w:w="10490" w:type="dxa"/>
            <w:gridSpan w:val="3"/>
            <w:shd w:val="clear" w:color="auto" w:fill="E7E6E6"/>
          </w:tcPr>
          <w:p w:rsidR="00CB2C49" w:rsidRPr="00DC544F" w:rsidRDefault="001738BE" w:rsidP="00A05DC9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 xml:space="preserve">Краткое </w:t>
            </w:r>
            <w:r w:rsidR="00CB2C49" w:rsidRPr="00DC544F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1738BE" w:rsidRPr="00DC544F" w:rsidTr="00DC544F">
        <w:trPr>
          <w:trHeight w:val="279"/>
        </w:trPr>
        <w:tc>
          <w:tcPr>
            <w:tcW w:w="10490" w:type="dxa"/>
            <w:gridSpan w:val="3"/>
          </w:tcPr>
          <w:p w:rsidR="00CB2C49" w:rsidRPr="00DC544F" w:rsidRDefault="00CB2C49" w:rsidP="00DC544F">
            <w:pPr>
              <w:contextualSpacing/>
              <w:rPr>
                <w:iCs/>
                <w:spacing w:val="-4"/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 xml:space="preserve"> </w:t>
            </w:r>
            <w:r w:rsidR="00FA18CE" w:rsidRPr="00DC544F">
              <w:rPr>
                <w:sz w:val="24"/>
                <w:szCs w:val="24"/>
              </w:rPr>
              <w:t xml:space="preserve">Тема </w:t>
            </w:r>
            <w:r w:rsidRPr="00DC544F">
              <w:rPr>
                <w:sz w:val="24"/>
                <w:szCs w:val="24"/>
              </w:rPr>
              <w:t xml:space="preserve">1. </w:t>
            </w:r>
            <w:r w:rsidR="00903D3F" w:rsidRPr="00DC544F">
              <w:rPr>
                <w:sz w:val="24"/>
                <w:szCs w:val="24"/>
              </w:rPr>
              <w:t>Понятия, задачи, функции нейминга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CB2C49" w:rsidP="00903D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 xml:space="preserve">Тема 2. </w:t>
            </w:r>
            <w:r w:rsidR="00903D3F" w:rsidRPr="00DC544F">
              <w:rPr>
                <w:sz w:val="24"/>
                <w:szCs w:val="24"/>
              </w:rPr>
              <w:t>Виды наименований: характеристика, особенности создания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CB2C49" w:rsidP="00903D3F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 xml:space="preserve">Тема 3. </w:t>
            </w:r>
            <w:r w:rsidR="00903D3F" w:rsidRPr="00DC544F">
              <w:rPr>
                <w:sz w:val="24"/>
                <w:szCs w:val="24"/>
              </w:rPr>
              <w:t xml:space="preserve">Специфика и формы воздействия нейминга  в </w:t>
            </w:r>
            <w:r w:rsidR="00903D3F" w:rsidRPr="00DC544F">
              <w:rPr>
                <w:sz w:val="24"/>
                <w:szCs w:val="24"/>
                <w:lang w:val="en-US"/>
              </w:rPr>
              <w:t>Event</w:t>
            </w:r>
            <w:r w:rsidR="00903D3F" w:rsidRPr="00DC544F">
              <w:rPr>
                <w:sz w:val="24"/>
                <w:szCs w:val="24"/>
              </w:rPr>
              <w:t>-индустрии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FA18CE" w:rsidP="00903D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 xml:space="preserve">Тема 4. </w:t>
            </w:r>
            <w:r w:rsidR="00903D3F" w:rsidRPr="00DC544F">
              <w:rPr>
                <w:sz w:val="24"/>
                <w:szCs w:val="24"/>
              </w:rPr>
              <w:t xml:space="preserve">Принципы и тенденции наименований объектов 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FA18CE" w:rsidRPr="00DC544F" w:rsidRDefault="00FA18CE" w:rsidP="00903D3F">
            <w:pPr>
              <w:tabs>
                <w:tab w:val="left" w:pos="1455"/>
              </w:tabs>
              <w:contextualSpacing/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 xml:space="preserve">Тема 5. </w:t>
            </w:r>
            <w:r w:rsidR="00903D3F" w:rsidRPr="00DC544F">
              <w:rPr>
                <w:sz w:val="24"/>
                <w:szCs w:val="24"/>
              </w:rPr>
              <w:t>Коммуникативные стратегии в сфере нейминга</w:t>
            </w:r>
          </w:p>
        </w:tc>
      </w:tr>
      <w:tr w:rsidR="001738BE" w:rsidRPr="00DC544F" w:rsidTr="005A5BB7">
        <w:tc>
          <w:tcPr>
            <w:tcW w:w="10490" w:type="dxa"/>
            <w:gridSpan w:val="3"/>
            <w:shd w:val="clear" w:color="auto" w:fill="E7E6E6"/>
          </w:tcPr>
          <w:p w:rsidR="00CB2C49" w:rsidRPr="00DC544F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B34F10" w:rsidRPr="00DC544F" w:rsidRDefault="00B34F10" w:rsidP="00DC544F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Основная литература:</w:t>
            </w:r>
          </w:p>
          <w:p w:rsidR="00903D3F" w:rsidRPr="00DC544F" w:rsidRDefault="00903D3F" w:rsidP="00DC544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Ильяхов, М. Пиши, сокращай [Текст] : как создавать сильный текст / Максим Ильяхов, Людмила Сарычева. - 3-е изд. - Москва : Альпина Паблишер, 2018. - 439 с. 3экз.</w:t>
            </w:r>
          </w:p>
          <w:p w:rsidR="00903D3F" w:rsidRPr="00DC544F" w:rsidRDefault="00903D3F" w:rsidP="00DC544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Кузнецов, П. А. </w:t>
            </w:r>
            <w:r w:rsidRPr="00DC544F">
              <w:rPr>
                <w:bCs/>
                <w:sz w:val="24"/>
                <w:szCs w:val="24"/>
              </w:rPr>
              <w:t>Копирайтинг</w:t>
            </w:r>
            <w:r w:rsidRPr="00DC544F">
              <w:rPr>
                <w:sz w:val="24"/>
                <w:szCs w:val="24"/>
              </w:rPr>
              <w:t> &amp; спичрайтинг. Эффективные рекламные и PR-технологии [Электронный ресурс] : производственно-практическое издание / П. А. Кузнецов. - 2-е изд., перераб. - Москва : Дашков и К°, 2018. - 131 с. </w:t>
            </w:r>
            <w:hyperlink r:id="rId8" w:history="1">
              <w:r w:rsidRPr="00DC544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http://znanium.com/go.php?id=513046</w:t>
              </w:r>
            </w:hyperlink>
          </w:p>
          <w:p w:rsidR="00903D3F" w:rsidRPr="00DC544F" w:rsidRDefault="00903D3F" w:rsidP="00DC544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Кузнецов, П. А. Современные технологии коммерческой рекламы [Электронный ресурс] : практическое пособие / П. А. Кузнецов. - Москва : Дашков и К°, 2018. - 296 с. </w:t>
            </w:r>
            <w:hyperlink r:id="rId9" w:history="1">
              <w:r w:rsidRPr="00DC544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http://znanium.com/go.php?id=511984</w:t>
              </w:r>
            </w:hyperlink>
          </w:p>
          <w:p w:rsidR="00903D3F" w:rsidRPr="00DC544F" w:rsidRDefault="00903D3F" w:rsidP="00DC544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C544F">
              <w:rPr>
                <w:kern w:val="0"/>
                <w:sz w:val="24"/>
                <w:szCs w:val="24"/>
              </w:rPr>
              <w:t>4.     Елистратов, В. С. </w:t>
            </w:r>
            <w:r w:rsidRPr="00DC544F">
              <w:rPr>
                <w:b/>
                <w:bCs/>
                <w:kern w:val="0"/>
                <w:sz w:val="24"/>
                <w:szCs w:val="24"/>
              </w:rPr>
              <w:t>Нейминг</w:t>
            </w:r>
            <w:r w:rsidRPr="00DC544F">
              <w:rPr>
                <w:kern w:val="0"/>
                <w:sz w:val="24"/>
                <w:szCs w:val="24"/>
              </w:rPr>
              <w:t>: искусство называть [Текст] : учебно-практическое пособие / В. С. Елистратов, П. А. Пименов. - 2-е изд., стер. - Москва : Омега-Л, 2014. - 293 с. 2экз.</w:t>
            </w:r>
          </w:p>
          <w:p w:rsidR="00B34F10" w:rsidRPr="00DC544F" w:rsidRDefault="00B34F10" w:rsidP="00DC544F">
            <w:pPr>
              <w:contextualSpacing/>
              <w:mirrorIndents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DC544F" w:rsidRDefault="00B34F10" w:rsidP="00DC544F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C544F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106317" w:rsidRPr="00DC544F" w:rsidRDefault="00106317" w:rsidP="00DC544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Пономарева, А. М. Креатив и </w:t>
            </w:r>
            <w:r w:rsidRPr="00DC544F">
              <w:rPr>
                <w:b/>
                <w:bCs/>
                <w:sz w:val="24"/>
                <w:szCs w:val="24"/>
              </w:rPr>
              <w:t>копирайтинг</w:t>
            </w:r>
            <w:r w:rsidRPr="00DC544F">
              <w:rPr>
                <w:sz w:val="24"/>
                <w:szCs w:val="24"/>
              </w:rPr>
              <w:t> 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 </w:t>
            </w:r>
            <w:hyperlink r:id="rId10" w:history="1">
              <w:r w:rsidRPr="00DC544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http://znanium.com/go.php?id=910391</w:t>
              </w:r>
            </w:hyperlink>
          </w:p>
          <w:p w:rsidR="00106317" w:rsidRPr="00DC544F" w:rsidRDefault="00106317" w:rsidP="00DC544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Реклама. Язык, речь, общение [Текст] : учебное пособие для студентов вузов, обучающихся по специальности 100103 "Социально-культурный сервис и туризм" (специализации: Референтный сервис, Рекламно-выставочный сервис) / [А. А. Алипова [и др.]; под ред. О. Я. Гойхмана, В. М. Лейчика; отв. за вып. Л. М. Гончарова]. - Москва : ИНФРА-М, 2010. - 287 с. 10экз.</w:t>
            </w:r>
          </w:p>
          <w:p w:rsidR="00106317" w:rsidRPr="00DC544F" w:rsidRDefault="00106317" w:rsidP="00DC544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Бердников, И. П. PR-коммуникации [Текст] : практическое пособие / И. П. Бердников, А. Ф. Стрижова. - Москва : Дашков и К°, 2010. - 208 с. 5экз.</w:t>
            </w:r>
          </w:p>
          <w:p w:rsidR="00106317" w:rsidRPr="00DC544F" w:rsidRDefault="00106317" w:rsidP="00DC544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Панкратов, Ф. Г. Основы рекламы [Текст] : учебник для студентов вузов, обучающихся по специальности "Реклама" / Ф. Г. Панкратов, Ю. К. Баженов, В. Г. Шахурин. - Изд.10-е, перераб. и доп. - Москва : Дашков и К°, 2008. - 531 с. 1экз.</w:t>
            </w:r>
          </w:p>
          <w:p w:rsidR="00B34F10" w:rsidRPr="00DC544F" w:rsidRDefault="00B34F10" w:rsidP="00DC544F">
            <w:pPr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1738BE" w:rsidRPr="00DC544F" w:rsidTr="005A5BB7">
        <w:tc>
          <w:tcPr>
            <w:tcW w:w="10490" w:type="dxa"/>
            <w:gridSpan w:val="3"/>
            <w:shd w:val="clear" w:color="auto" w:fill="E7E6E6"/>
          </w:tcPr>
          <w:p w:rsidR="00CB2C49" w:rsidRPr="00DC544F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CB2C49" w:rsidP="00CB2C49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DC544F" w:rsidRDefault="00CB2C49" w:rsidP="005A5BB7">
            <w:pPr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C544F" w:rsidRDefault="00CB2C49" w:rsidP="005A5BB7">
            <w:pPr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C544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C544F" w:rsidRDefault="00CB2C49" w:rsidP="00CB2C49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C544F" w:rsidRDefault="00CB2C49" w:rsidP="00CB2C49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Общего доступа</w:t>
            </w:r>
          </w:p>
          <w:p w:rsidR="00CB2C49" w:rsidRPr="00DC544F" w:rsidRDefault="00CB2C49" w:rsidP="00CB2C49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DC544F" w:rsidRDefault="00CB2C49" w:rsidP="00CB2C49">
            <w:pPr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738BE" w:rsidRPr="00DC544F" w:rsidTr="005A5BB7">
        <w:tc>
          <w:tcPr>
            <w:tcW w:w="10490" w:type="dxa"/>
            <w:gridSpan w:val="3"/>
            <w:shd w:val="clear" w:color="auto" w:fill="E7E6E6"/>
          </w:tcPr>
          <w:p w:rsidR="00CB2C49" w:rsidRPr="00DC544F" w:rsidRDefault="00CB2C49" w:rsidP="00FA18CE">
            <w:pPr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544F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DC544F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738BE" w:rsidRPr="00DC544F" w:rsidTr="005A5BB7">
        <w:tc>
          <w:tcPr>
            <w:tcW w:w="10490" w:type="dxa"/>
            <w:gridSpan w:val="3"/>
            <w:shd w:val="clear" w:color="auto" w:fill="E7E6E6"/>
          </w:tcPr>
          <w:p w:rsidR="00CB2C49" w:rsidRPr="00DC544F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544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38BE" w:rsidRPr="00DC544F" w:rsidTr="005A5BB7">
        <w:tc>
          <w:tcPr>
            <w:tcW w:w="10490" w:type="dxa"/>
            <w:gridSpan w:val="3"/>
          </w:tcPr>
          <w:p w:rsidR="00CB2C49" w:rsidRPr="00DC544F" w:rsidRDefault="001738BE" w:rsidP="001738B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C544F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C544F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C544F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55" w:rsidRDefault="00231455">
      <w:r>
        <w:separator/>
      </w:r>
    </w:p>
  </w:endnote>
  <w:endnote w:type="continuationSeparator" w:id="0">
    <w:p w:rsidR="00231455" w:rsidRDefault="002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55" w:rsidRDefault="00231455">
      <w:r>
        <w:separator/>
      </w:r>
    </w:p>
  </w:footnote>
  <w:footnote w:type="continuationSeparator" w:id="0">
    <w:p w:rsidR="00231455" w:rsidRDefault="0023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C06833"/>
    <w:multiLevelType w:val="multilevel"/>
    <w:tmpl w:val="55BE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83CEF"/>
    <w:multiLevelType w:val="multilevel"/>
    <w:tmpl w:val="B8D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7F6200"/>
    <w:multiLevelType w:val="multilevel"/>
    <w:tmpl w:val="B6C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4A1E37"/>
    <w:multiLevelType w:val="multilevel"/>
    <w:tmpl w:val="C81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7BF2844"/>
    <w:multiLevelType w:val="multilevel"/>
    <w:tmpl w:val="059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3"/>
  </w:num>
  <w:num w:numId="13">
    <w:abstractNumId w:val="58"/>
  </w:num>
  <w:num w:numId="14">
    <w:abstractNumId w:val="24"/>
  </w:num>
  <w:num w:numId="15">
    <w:abstractNumId w:val="51"/>
  </w:num>
  <w:num w:numId="16">
    <w:abstractNumId w:val="67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6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65"/>
  </w:num>
  <w:num w:numId="66">
    <w:abstractNumId w:val="59"/>
  </w:num>
  <w:num w:numId="67">
    <w:abstractNumId w:val="10"/>
  </w:num>
  <w:num w:numId="68">
    <w:abstractNumId w:val="31"/>
  </w:num>
  <w:num w:numId="69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3486"/>
    <w:rsid w:val="0013695C"/>
    <w:rsid w:val="00142721"/>
    <w:rsid w:val="00144E94"/>
    <w:rsid w:val="00154AB7"/>
    <w:rsid w:val="001738B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5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F6D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44F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6F7D9"/>
  <w15:chartTrackingRefBased/>
  <w15:docId w15:val="{A6334CE2-6B58-4082-98D2-CFD578D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F2B7-081D-4D46-A028-CDA15897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4213</CharactersWithSpaces>
  <SharedDoc>false</SharedDoc>
  <HLinks>
    <vt:vector size="18" baseType="variant"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http://znanium.com/go.php?id=910391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http://znanium.com/go.php?id=511984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http://znanium.com/go.php?id=513046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2019-03-18T09:04:00Z</dcterms:created>
  <dcterms:modified xsi:type="dcterms:W3CDTF">2019-07-11T06:37:00Z</dcterms:modified>
</cp:coreProperties>
</file>